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A991" w14:textId="5CF8FC4C" w:rsidR="002D30B4" w:rsidRPr="008B79F1" w:rsidRDefault="008B79F1" w:rsidP="005A53DA">
      <w:pPr>
        <w:spacing w:line="240" w:lineRule="auto"/>
        <w:rPr>
          <w:b/>
          <w:bCs/>
          <w:u w:val="single"/>
        </w:rPr>
      </w:pPr>
      <w:r w:rsidRPr="008B79F1">
        <w:rPr>
          <w:b/>
          <w:bCs/>
          <w:u w:val="single"/>
        </w:rPr>
        <w:t>Further clarifications on the q</w:t>
      </w:r>
      <w:r>
        <w:rPr>
          <w:b/>
          <w:bCs/>
          <w:u w:val="single"/>
        </w:rPr>
        <w:t>uestionnaire for the 2024 Rule of Law Report</w:t>
      </w:r>
    </w:p>
    <w:tbl>
      <w:tblPr>
        <w:tblStyle w:val="TableGrid"/>
        <w:tblW w:w="4697" w:type="pct"/>
        <w:tblLook w:val="04A0" w:firstRow="1" w:lastRow="0" w:firstColumn="1" w:lastColumn="0" w:noHBand="0" w:noVBand="1"/>
      </w:tblPr>
      <w:tblGrid>
        <w:gridCol w:w="4125"/>
        <w:gridCol w:w="4345"/>
      </w:tblGrid>
      <w:tr w:rsidR="008B79F1" w:rsidRPr="002D30B4" w14:paraId="3BB20542" w14:textId="77777777" w:rsidTr="008B79F1">
        <w:tc>
          <w:tcPr>
            <w:tcW w:w="2435" w:type="pct"/>
          </w:tcPr>
          <w:p w14:paraId="70F10639" w14:textId="2F7C0167" w:rsidR="008B79F1" w:rsidRPr="002D30B4" w:rsidRDefault="008B79F1" w:rsidP="005A53DA">
            <w:pPr>
              <w:rPr>
                <w:b/>
                <w:bCs/>
                <w:lang w:val="fr-FR"/>
              </w:rPr>
            </w:pPr>
            <w:r w:rsidRPr="002D30B4">
              <w:rPr>
                <w:b/>
                <w:bCs/>
                <w:lang w:val="fr-FR"/>
              </w:rPr>
              <w:t>Comment</w:t>
            </w:r>
            <w:r>
              <w:rPr>
                <w:b/>
                <w:bCs/>
                <w:lang w:val="fr-FR"/>
              </w:rPr>
              <w:t>/Question</w:t>
            </w:r>
          </w:p>
        </w:tc>
        <w:tc>
          <w:tcPr>
            <w:tcW w:w="2565" w:type="pct"/>
          </w:tcPr>
          <w:p w14:paraId="6988AF17" w14:textId="5BB47C1E" w:rsidR="008B79F1" w:rsidRPr="002D30B4" w:rsidRDefault="008B79F1" w:rsidP="005A53DA">
            <w:pPr>
              <w:rPr>
                <w:b/>
                <w:bCs/>
                <w:lang w:val="fr-FR"/>
              </w:rPr>
            </w:pPr>
            <w:r>
              <w:rPr>
                <w:b/>
                <w:bCs/>
                <w:lang w:val="fr-FR"/>
              </w:rPr>
              <w:t xml:space="preserve">Explanation </w:t>
            </w:r>
          </w:p>
        </w:tc>
      </w:tr>
      <w:tr w:rsidR="008B79F1" w:rsidRPr="002D30B4" w14:paraId="4D97B29B" w14:textId="77777777" w:rsidTr="0042095A">
        <w:tc>
          <w:tcPr>
            <w:tcW w:w="2435" w:type="pct"/>
          </w:tcPr>
          <w:p w14:paraId="6653C390" w14:textId="0C7674CA" w:rsidR="008B79F1" w:rsidRPr="00236774" w:rsidRDefault="008B79F1" w:rsidP="005A53DA">
            <w:pPr>
              <w:spacing w:after="160"/>
              <w:rPr>
                <w:lang w:val="en-US"/>
              </w:rPr>
            </w:pPr>
            <w:r w:rsidRPr="008B79F1">
              <w:rPr>
                <w:b/>
                <w:bCs/>
                <w:lang w:val="en-US"/>
              </w:rPr>
              <w:t>Concerning the addition in the introductory section:</w:t>
            </w:r>
            <w:r>
              <w:rPr>
                <w:lang w:val="en-US"/>
              </w:rPr>
              <w:t xml:space="preserve"> “</w:t>
            </w:r>
            <w:r w:rsidRPr="004E1DE3">
              <w:rPr>
                <w:lang w:val="en-US"/>
              </w:rPr>
              <w:t>Please also indicate whether the developments reported are linked to the implementation of reforms and investments under the RRP, where applicable.</w:t>
            </w:r>
            <w:r>
              <w:rPr>
                <w:lang w:val="en-US"/>
              </w:rPr>
              <w:t>”</w:t>
            </w:r>
          </w:p>
          <w:p w14:paraId="368249DF" w14:textId="3262BE4C" w:rsidR="008B79F1" w:rsidRPr="004838E9" w:rsidRDefault="008B79F1" w:rsidP="005A53DA">
            <w:pPr>
              <w:spacing w:after="160"/>
              <w:rPr>
                <w:lang w:val="en-US"/>
              </w:rPr>
            </w:pPr>
            <w:r w:rsidRPr="00236774">
              <w:rPr>
                <w:lang w:val="en-US"/>
              </w:rPr>
              <w:t xml:space="preserve">Since the beginning of the process on the annual Rule of Law Report, </w:t>
            </w:r>
            <w:r w:rsidR="005C7F95">
              <w:rPr>
                <w:lang w:val="en-US"/>
              </w:rPr>
              <w:t>we have</w:t>
            </w:r>
            <w:r w:rsidRPr="00236774">
              <w:rPr>
                <w:lang w:val="en-US"/>
              </w:rPr>
              <w:t xml:space="preserve"> voiced the opinion that there should be no overlaps with other established processes, in order to avoid duplication of existing work strands. Follow-up on the RRPs should take place in the established fora with the competent interlocutors. GAC and ECOFIN work strands should in principle be kept separate.</w:t>
            </w:r>
          </w:p>
        </w:tc>
        <w:tc>
          <w:tcPr>
            <w:tcW w:w="2565" w:type="pct"/>
          </w:tcPr>
          <w:p w14:paraId="3F58D2B1" w14:textId="7ACF1682" w:rsidR="008B79F1" w:rsidRPr="00D8140E" w:rsidRDefault="008B79F1" w:rsidP="005A53DA">
            <w:r>
              <w:t xml:space="preserve">We would like to reassure you that indeed this addition does not aim to create any duplication. Rather, in this context, we would simply ask you to indicate for reforms/developments that you would anyways report under the questionnaire for the Rule of Law Report (as they fall within its scope), if they are linked to the implementation of reforms and investments under the RRP, where this applies (a simple cross-reference is enough). </w:t>
            </w:r>
            <w:r w:rsidRPr="00D8140E">
              <w:t xml:space="preserve">This </w:t>
            </w:r>
            <w:r>
              <w:t xml:space="preserve">does not affect the assessment under the RRP, which remains a separate work strand. </w:t>
            </w:r>
            <w:r w:rsidRPr="00D8140E">
              <w:t xml:space="preserve"> </w:t>
            </w:r>
          </w:p>
        </w:tc>
      </w:tr>
      <w:tr w:rsidR="008B79F1" w:rsidRPr="00F301DE" w14:paraId="43C403F8" w14:textId="77777777" w:rsidTr="008B79F1">
        <w:tc>
          <w:tcPr>
            <w:tcW w:w="2435" w:type="pct"/>
          </w:tcPr>
          <w:p w14:paraId="298B0396" w14:textId="77777777" w:rsidR="008B79F1" w:rsidRPr="008B79F1" w:rsidRDefault="008B79F1" w:rsidP="005A53DA">
            <w:pPr>
              <w:rPr>
                <w:b/>
                <w:bCs/>
              </w:rPr>
            </w:pPr>
            <w:r w:rsidRPr="008B79F1">
              <w:rPr>
                <w:b/>
                <w:bCs/>
              </w:rPr>
              <w:t xml:space="preserve">Question 13 and footnote 6 (resources of the judiciary) </w:t>
            </w:r>
          </w:p>
          <w:p w14:paraId="5A4CD596" w14:textId="34D48604" w:rsidR="008B79F1" w:rsidRPr="00F301DE" w:rsidRDefault="008B79F1" w:rsidP="005A53DA">
            <w:r>
              <w:t xml:space="preserve">We request information on whether it will be possible to make reference to the data provided to the Justice Scoreboard questionnaire when referring to salaries? It is in the Justice Scoreboard that a new question concerning the salary conditions of all other court and prosecution staff, apart from judges and prosecutors themselves, which is more specific. A footnote would suggest that the same information should be provided. If this is the case, in this respect we would welcome it if it were not necessary to send the data twice. If this is not possible, we request that the note above be more specific, in particular to indicate whether average salary - person/year is being collected. Furthermore, it should be stated whether the salary actually paid is being measured or whether it is just a basic 'table salary'. It should also be stated whether it is necessary to differentiate between staff in courts and prosecution offices and whether salary conditions at all grades or only at the lowest level (district court/district prosecutor's office) are to be ascertained. </w:t>
            </w:r>
          </w:p>
        </w:tc>
        <w:tc>
          <w:tcPr>
            <w:tcW w:w="2565" w:type="pct"/>
          </w:tcPr>
          <w:p w14:paraId="4BF181A1" w14:textId="77777777" w:rsidR="003D5F22" w:rsidRDefault="003D5F22" w:rsidP="005A53DA"/>
          <w:p w14:paraId="5E4C84A0" w14:textId="77777777" w:rsidR="003D5F22" w:rsidRDefault="003D5F22" w:rsidP="005A53DA"/>
          <w:p w14:paraId="50AACE95" w14:textId="7FE3B966" w:rsidR="008B79F1" w:rsidRPr="00F301DE" w:rsidRDefault="008B79F1" w:rsidP="005A53DA">
            <w:r w:rsidRPr="008B79F1">
              <w:t>Indeed</w:t>
            </w:r>
            <w:r>
              <w:t>, under this question, it is not necessary to provide data on salaries as MS are already providing this information to the Commission in the context of the EU Justice Scoreboard (where DG JUST has indeed taken into account MS comments to update the relevant questionnaire</w:t>
            </w:r>
            <w:r w:rsidR="003D5F22">
              <w:t>, which has already been shared with MS for their replies</w:t>
            </w:r>
            <w:r>
              <w:t xml:space="preserve">). Instead, you are invited to focus on the same type of developments as for the other question, e.g. changes to the legislative framework regulating salaries. </w:t>
            </w:r>
          </w:p>
        </w:tc>
      </w:tr>
      <w:tr w:rsidR="008B79F1" w:rsidRPr="004E6071" w14:paraId="53DDC637" w14:textId="77777777" w:rsidTr="008B79F1">
        <w:tc>
          <w:tcPr>
            <w:tcW w:w="2435" w:type="pct"/>
          </w:tcPr>
          <w:p w14:paraId="104E0DF0" w14:textId="174C3220" w:rsidR="008B79F1" w:rsidRPr="008B79F1" w:rsidRDefault="008B79F1" w:rsidP="005A53DA">
            <w:pPr>
              <w:rPr>
                <w:b/>
                <w:bCs/>
              </w:rPr>
            </w:pPr>
            <w:r w:rsidRPr="008B79F1">
              <w:rPr>
                <w:b/>
                <w:bCs/>
              </w:rPr>
              <w:t xml:space="preserve">Question 15 (digitalisation) </w:t>
            </w:r>
          </w:p>
          <w:p w14:paraId="778E838C" w14:textId="5E828431" w:rsidR="008B79F1" w:rsidRPr="00F301DE" w:rsidRDefault="008B79F1" w:rsidP="005A53DA">
            <w:r w:rsidRPr="00F301DE">
              <w:t>- It would be useful to have a footnote next to "procedural rules" to specify what procedural rules are being followed.</w:t>
            </w:r>
          </w:p>
        </w:tc>
        <w:tc>
          <w:tcPr>
            <w:tcW w:w="2565" w:type="pct"/>
          </w:tcPr>
          <w:p w14:paraId="47FAE163" w14:textId="77777777" w:rsidR="00FB1607" w:rsidRDefault="00FB1607" w:rsidP="005A53DA"/>
          <w:p w14:paraId="31598F5E" w14:textId="19F29587" w:rsidR="008B79F1" w:rsidRPr="004E6071" w:rsidRDefault="008B79F1" w:rsidP="005A53DA">
            <w:r w:rsidRPr="008B79F1">
              <w:t>As also explained at the meeting on 25/10, p</w:t>
            </w:r>
            <w:r>
              <w:t xml:space="preserve">rocedural rules refer to the legal arrangements in different areas of law that </w:t>
            </w:r>
            <w:r>
              <w:lastRenderedPageBreak/>
              <w:t xml:space="preserve">provide for the (extent of) the use of digital tools possible. As a reference, see figure 41 in the 2023 EU Justice Scoreboard. This question should be understood in the context of the type </w:t>
            </w:r>
            <w:r w:rsidR="00EE546B">
              <w:t xml:space="preserve">of information requested in all questions of the questionnaire </w:t>
            </w:r>
            <w:r>
              <w:t>(e.g. relevant information would be a change to the procedural code to extend for the use of videoconferences in proceedings)</w:t>
            </w:r>
          </w:p>
        </w:tc>
      </w:tr>
      <w:tr w:rsidR="008B79F1" w:rsidRPr="004E6071" w14:paraId="479EC56D" w14:textId="77777777" w:rsidTr="008B79F1">
        <w:trPr>
          <w:trHeight w:val="558"/>
        </w:trPr>
        <w:tc>
          <w:tcPr>
            <w:tcW w:w="2435" w:type="pct"/>
          </w:tcPr>
          <w:p w14:paraId="16221244" w14:textId="41705DEF" w:rsidR="008B79F1" w:rsidRPr="008B79F1" w:rsidRDefault="008B79F1" w:rsidP="005A53DA">
            <w:pPr>
              <w:rPr>
                <w:b/>
                <w:bCs/>
              </w:rPr>
            </w:pPr>
            <w:r w:rsidRPr="008B79F1">
              <w:rPr>
                <w:b/>
                <w:bCs/>
              </w:rPr>
              <w:lastRenderedPageBreak/>
              <w:t xml:space="preserve">Question 20 (anti-corruption authorities + cooperation) </w:t>
            </w:r>
          </w:p>
          <w:p w14:paraId="52A492A1" w14:textId="21C34E63" w:rsidR="008B79F1" w:rsidRPr="00F301DE" w:rsidRDefault="008B79F1" w:rsidP="005A53DA">
            <w:pPr>
              <w:spacing w:after="160"/>
            </w:pPr>
            <w:r w:rsidRPr="00F301DE">
              <w:t>Explanation in a footnote of the description of the changes to the cooperation bodies with foreign authorities. With the question phrased in this way, it is not clear what is intended by expanding the question in this way, nor does it make clear the scope of the information provided.</w:t>
            </w:r>
          </w:p>
        </w:tc>
        <w:tc>
          <w:tcPr>
            <w:tcW w:w="2565" w:type="pct"/>
          </w:tcPr>
          <w:p w14:paraId="2A437868" w14:textId="77777777" w:rsidR="00FB1607" w:rsidRDefault="00FB1607" w:rsidP="005A53DA"/>
          <w:p w14:paraId="7FB766E2" w14:textId="77777777" w:rsidR="00EE546B" w:rsidRDefault="00EE546B" w:rsidP="005A53DA"/>
          <w:p w14:paraId="0E9A1185" w14:textId="3E1936FE" w:rsidR="008B79F1" w:rsidRDefault="008B79F1" w:rsidP="005A53DA">
            <w:r>
              <w:t xml:space="preserve">In </w:t>
            </w:r>
            <w:r w:rsidR="00EE546B">
              <w:t>the previous edition</w:t>
            </w:r>
            <w:r>
              <w:t xml:space="preserve">, this question enquired about the cooperation between the different domestic authorities, as well as their cooperation with the EPPO. The addition of “foreign authorities” seeks to also get your feedback on how your national authorities work with the national authorities </w:t>
            </w:r>
            <w:r w:rsidR="00EE546B">
              <w:t>in</w:t>
            </w:r>
            <w:r>
              <w:t xml:space="preserve"> other countries in cases with a cross-border element. In this context, it would be </w:t>
            </w:r>
            <w:r w:rsidR="00EE546B">
              <w:t>relevant</w:t>
            </w:r>
            <w:r>
              <w:t xml:space="preserve"> to hear if there are any obstacles in this cooperation. </w:t>
            </w:r>
          </w:p>
        </w:tc>
      </w:tr>
      <w:tr w:rsidR="008B79F1" w:rsidRPr="002D30B4" w14:paraId="66BA5EF2" w14:textId="77777777" w:rsidTr="008B79F1">
        <w:tc>
          <w:tcPr>
            <w:tcW w:w="2435" w:type="pct"/>
          </w:tcPr>
          <w:p w14:paraId="0A503E42" w14:textId="052A4F8F" w:rsidR="008B79F1" w:rsidRPr="008B79F1" w:rsidRDefault="008B79F1" w:rsidP="005A53DA">
            <w:pPr>
              <w:rPr>
                <w:b/>
                <w:bCs/>
                <w:lang w:val="en"/>
              </w:rPr>
            </w:pPr>
            <w:r w:rsidRPr="008B79F1">
              <w:rPr>
                <w:b/>
                <w:bCs/>
                <w:lang w:val="en"/>
              </w:rPr>
              <w:t>Questions 23-25</w:t>
            </w:r>
            <w:r>
              <w:rPr>
                <w:b/>
                <w:bCs/>
                <w:lang w:val="en"/>
              </w:rPr>
              <w:t xml:space="preserve"> (preventive measures) </w:t>
            </w:r>
            <w:r w:rsidRPr="008B79F1">
              <w:rPr>
                <w:b/>
                <w:bCs/>
                <w:lang w:val="en"/>
              </w:rPr>
              <w:t xml:space="preserve"> </w:t>
            </w:r>
          </w:p>
          <w:p w14:paraId="437113DD" w14:textId="77777777" w:rsidR="008B79F1" w:rsidRPr="00A83CC6" w:rsidRDefault="008B79F1" w:rsidP="005A53DA">
            <w:pPr>
              <w:rPr>
                <w:lang w:val="en"/>
              </w:rPr>
            </w:pPr>
            <w:r w:rsidRPr="00A83CC6">
              <w:rPr>
                <w:lang w:val="en"/>
              </w:rPr>
              <w:t xml:space="preserve">it has also been requested to provide statistics of detected breaches. It would probably be relevant to specify what type of breaches are meant here (crimes, misdemeanors, disciplinary violations). For example, Estonia does not collect statistics of such breaches other than crimes and misdemeanors. Therefore, it should be clearly brought out that you also expect data about such crimes and misdemeanours as well. </w:t>
            </w:r>
          </w:p>
        </w:tc>
        <w:tc>
          <w:tcPr>
            <w:tcW w:w="2565" w:type="pct"/>
          </w:tcPr>
          <w:p w14:paraId="42F14B66" w14:textId="77777777" w:rsidR="008B79F1" w:rsidRDefault="008B79F1" w:rsidP="005A53DA"/>
          <w:p w14:paraId="6413CD5D" w14:textId="4E042AFC" w:rsidR="008B79F1" w:rsidRPr="003A6CE7" w:rsidRDefault="008B79F1" w:rsidP="005A53DA">
            <w:r>
              <w:t xml:space="preserve">The statistics that the Commission requests in relation to questions 23-25 are generally not of a criminal nature. For instance, for question 25, we anticipate to receive the number of declarations made and the number those that the responsible authority verified. However, if the breaches of </w:t>
            </w:r>
            <w:r w:rsidR="00E66B69">
              <w:t xml:space="preserve">these </w:t>
            </w:r>
            <w:r>
              <w:t xml:space="preserve">rules are considered the be a crime or misdemeanour at national level, and data on such offences is </w:t>
            </w:r>
            <w:r w:rsidR="008E704C">
              <w:t>available</w:t>
            </w:r>
            <w:r>
              <w:t xml:space="preserve">, you are invited to provide it. </w:t>
            </w:r>
          </w:p>
        </w:tc>
      </w:tr>
      <w:tr w:rsidR="008B79F1" w:rsidRPr="002D30B4" w14:paraId="246BF55F" w14:textId="77777777" w:rsidTr="008B79F1">
        <w:tc>
          <w:tcPr>
            <w:tcW w:w="2435" w:type="pct"/>
          </w:tcPr>
          <w:p w14:paraId="1077EDC4" w14:textId="355FEA77" w:rsidR="008B79F1" w:rsidRDefault="008B79F1" w:rsidP="005A53DA">
            <w:pPr>
              <w:rPr>
                <w:lang w:val="en"/>
              </w:rPr>
            </w:pPr>
            <w:r w:rsidRPr="008B79F1">
              <w:rPr>
                <w:b/>
                <w:bCs/>
                <w:lang w:val="en"/>
              </w:rPr>
              <w:t>Question 26:</w:t>
            </w:r>
            <w:r>
              <w:rPr>
                <w:b/>
                <w:bCs/>
                <w:lang w:val="en"/>
              </w:rPr>
              <w:t xml:space="preserve"> (whistleblowing)</w:t>
            </w:r>
          </w:p>
          <w:p w14:paraId="16D954EA" w14:textId="5CB114CD" w:rsidR="008B79F1" w:rsidRDefault="008B79F1" w:rsidP="005A53DA">
            <w:r w:rsidRPr="00A83CC6">
              <w:rPr>
                <w:lang w:val="en"/>
              </w:rPr>
              <w:t>it might be relevant to specify the added text, as it would be possible to present only the number of reports that have been submitted via external reporting channels.</w:t>
            </w:r>
          </w:p>
        </w:tc>
        <w:tc>
          <w:tcPr>
            <w:tcW w:w="2565" w:type="pct"/>
          </w:tcPr>
          <w:p w14:paraId="06EC5978" w14:textId="77777777" w:rsidR="008B79F1" w:rsidRDefault="008B79F1" w:rsidP="005A53DA"/>
          <w:p w14:paraId="2A9B572C" w14:textId="10F1E456" w:rsidR="008B79F1" w:rsidRPr="00E74E17" w:rsidRDefault="008B79F1" w:rsidP="005A53DA">
            <w:r>
              <w:t xml:space="preserve">If national authorities can only </w:t>
            </w:r>
            <w:r w:rsidRPr="00A83CC6">
              <w:rPr>
                <w:lang w:val="en"/>
              </w:rPr>
              <w:t>present the number of reports that have been submitted via external reporting channels</w:t>
            </w:r>
            <w:r>
              <w:rPr>
                <w:lang w:val="en"/>
              </w:rPr>
              <w:t>, it is suggested that the Member State clarifies this in the response to this question.</w:t>
            </w:r>
          </w:p>
        </w:tc>
      </w:tr>
      <w:tr w:rsidR="00FB1607" w:rsidRPr="002D30B4" w14:paraId="5E54CA9A" w14:textId="77777777" w:rsidTr="00FB1607">
        <w:tc>
          <w:tcPr>
            <w:tcW w:w="2435" w:type="pct"/>
          </w:tcPr>
          <w:p w14:paraId="4547C8FE" w14:textId="640FCC26" w:rsidR="00FB1607" w:rsidRPr="00FB1607" w:rsidRDefault="00FB1607" w:rsidP="005A53DA">
            <w:pPr>
              <w:rPr>
                <w:b/>
                <w:bCs/>
              </w:rPr>
            </w:pPr>
            <w:r>
              <w:rPr>
                <w:b/>
                <w:bCs/>
              </w:rPr>
              <w:t>Question 26 (whistleblowing)</w:t>
            </w:r>
          </w:p>
          <w:p w14:paraId="6DF6927C" w14:textId="77777777" w:rsidR="00FB1607" w:rsidRDefault="00FB1607" w:rsidP="005A53DA">
            <w:r>
              <w:t xml:space="preserve">It is necessary to further specify this question. Meaning, what types of reports should be included in the data (only corruption related?) and where the data should stem from (public sector, Government, …?) and also to possibly add “if the data is available to the reporting authority”. It could be significantly demanding and burdening to collect such data from entities that do not track this </w:t>
            </w:r>
            <w:r>
              <w:lastRenderedPageBreak/>
              <w:t>information since they do not have such obligation.</w:t>
            </w:r>
          </w:p>
        </w:tc>
        <w:tc>
          <w:tcPr>
            <w:tcW w:w="2565" w:type="pct"/>
          </w:tcPr>
          <w:p w14:paraId="34F5E243" w14:textId="77777777" w:rsidR="00FB1607" w:rsidRDefault="00FB1607" w:rsidP="005A53DA"/>
          <w:p w14:paraId="57F5E467" w14:textId="221CB078" w:rsidR="00FB1607" w:rsidRDefault="00FB1607" w:rsidP="005A53DA">
            <w:r>
              <w:t>We would like to clarify that the</w:t>
            </w:r>
            <w:r w:rsidRPr="002B1DB2">
              <w:t xml:space="preserve"> question is </w:t>
            </w:r>
            <w:r>
              <w:t xml:space="preserve">already </w:t>
            </w:r>
            <w:r w:rsidRPr="002B1DB2">
              <w:t>limited to reports on corruption cases</w:t>
            </w:r>
            <w:r>
              <w:t>,</w:t>
            </w:r>
            <w:r w:rsidRPr="002B1DB2">
              <w:t xml:space="preserve"> </w:t>
            </w:r>
            <w:r>
              <w:t>from any relevant authority that collects them.</w:t>
            </w:r>
          </w:p>
          <w:p w14:paraId="0F4828E0" w14:textId="47A5658D" w:rsidR="00FB1607" w:rsidRPr="002B1DB2" w:rsidRDefault="008E704C" w:rsidP="005A53DA">
            <w:r>
              <w:t>It is understood that all</w:t>
            </w:r>
            <w:r w:rsidR="00FB1607" w:rsidRPr="002B1DB2">
              <w:t xml:space="preserve"> data is </w:t>
            </w:r>
            <w:r w:rsidR="00FB1607">
              <w:t xml:space="preserve">of course </w:t>
            </w:r>
            <w:r w:rsidR="00FB1607" w:rsidRPr="002B1DB2">
              <w:t>dependent on availability</w:t>
            </w:r>
            <w:r>
              <w:t xml:space="preserve"> (which is why this is not specifically spelled out in the questionnaire). </w:t>
            </w:r>
          </w:p>
        </w:tc>
      </w:tr>
      <w:tr w:rsidR="008B79F1" w:rsidRPr="004E6071" w14:paraId="119A36CA" w14:textId="77777777" w:rsidTr="008B79F1">
        <w:trPr>
          <w:trHeight w:val="558"/>
        </w:trPr>
        <w:tc>
          <w:tcPr>
            <w:tcW w:w="2435" w:type="pct"/>
          </w:tcPr>
          <w:p w14:paraId="0E083A9C" w14:textId="5098F75F" w:rsidR="008B79F1" w:rsidRPr="008B79F1" w:rsidRDefault="008B79F1" w:rsidP="005A53DA">
            <w:pPr>
              <w:rPr>
                <w:b/>
                <w:bCs/>
              </w:rPr>
            </w:pPr>
            <w:r w:rsidRPr="008B79F1">
              <w:rPr>
                <w:b/>
                <w:bCs/>
              </w:rPr>
              <w:t xml:space="preserve">Question 30 (data on corruption cases) </w:t>
            </w:r>
          </w:p>
          <w:p w14:paraId="33544F42" w14:textId="77777777" w:rsidR="008B79F1" w:rsidRDefault="008B79F1" w:rsidP="005A53DA">
            <w:r>
              <w:t>(a) Is it also necessary to provide a description of cases of corruption of particular importance? (the footnote focuses only on the provision of data). If yes (SK practice to date), in which section of the questionnaire can this be done.</w:t>
            </w:r>
          </w:p>
          <w:p w14:paraId="44716367" w14:textId="77777777" w:rsidR="008B79F1" w:rsidRDefault="008B79F1" w:rsidP="005A53DA">
            <w:r>
              <w:t>b) Explanation in a footnote what is meant by data transparency.</w:t>
            </w:r>
          </w:p>
          <w:p w14:paraId="759C5944" w14:textId="4CFF4ABF" w:rsidR="008B79F1" w:rsidRPr="00F301DE" w:rsidRDefault="008B79F1" w:rsidP="005A53DA">
            <w:r>
              <w:t>c) Methodological guidance on the provision of information in the implementation of EU funds - are these cases not within the remit of the EPPO? Will the EPPO also provide information? This is an area where there is an overlap of competences with the EPPO, so it would be good to be clear what data Member States are to provide in order to avoid possible duplication of information and lack of clarity</w:t>
            </w:r>
          </w:p>
        </w:tc>
        <w:tc>
          <w:tcPr>
            <w:tcW w:w="2565" w:type="pct"/>
          </w:tcPr>
          <w:p w14:paraId="62F327A1" w14:textId="77777777" w:rsidR="008B79F1" w:rsidRDefault="008B79F1" w:rsidP="005A53DA"/>
          <w:p w14:paraId="423C1A7B" w14:textId="7D26233E" w:rsidR="008B79F1" w:rsidRDefault="008B79F1" w:rsidP="005A53DA">
            <w:r>
              <w:t>a) While it is not necessary, but we would welcome a description of cases of particular importance in the answer to this question.</w:t>
            </w:r>
          </w:p>
          <w:p w14:paraId="584E5BAB" w14:textId="77777777" w:rsidR="008B79F1" w:rsidRDefault="008B79F1" w:rsidP="005A53DA"/>
          <w:p w14:paraId="0A6E347A" w14:textId="77777777" w:rsidR="008B79F1" w:rsidRDefault="008B79F1" w:rsidP="005A53DA"/>
          <w:p w14:paraId="66F178F4" w14:textId="494C2D2F" w:rsidR="008B79F1" w:rsidRDefault="008B79F1" w:rsidP="005A53DA">
            <w:r>
              <w:t xml:space="preserve">b) “Data transparency” is a term that has been used consistently in the questionnaire for the past years; it refers to arrangements to make the data referred transparent/publicly available; if applicable. </w:t>
            </w:r>
          </w:p>
          <w:p w14:paraId="77E621D6" w14:textId="77777777" w:rsidR="008B79F1" w:rsidRDefault="008B79F1" w:rsidP="005A53DA"/>
          <w:p w14:paraId="0A198F46" w14:textId="3B22EDCC" w:rsidR="008B79F1" w:rsidRDefault="008B79F1" w:rsidP="005A53DA">
            <w:r>
              <w:t xml:space="preserve">c) a footnote has been added to clarify this point: </w:t>
            </w:r>
          </w:p>
        </w:tc>
      </w:tr>
      <w:tr w:rsidR="00FB1607" w:rsidRPr="002D30B4" w14:paraId="7714BC7D" w14:textId="77777777" w:rsidTr="00FB1607">
        <w:tc>
          <w:tcPr>
            <w:tcW w:w="2435" w:type="pct"/>
          </w:tcPr>
          <w:p w14:paraId="5FC2B231" w14:textId="2C03E546" w:rsidR="00FB1607" w:rsidRPr="00FB1607" w:rsidRDefault="00FB1607" w:rsidP="005A53DA">
            <w:pPr>
              <w:rPr>
                <w:b/>
                <w:bCs/>
              </w:rPr>
            </w:pPr>
            <w:r w:rsidRPr="00FB1607">
              <w:rPr>
                <w:b/>
                <w:bCs/>
              </w:rPr>
              <w:t>Question 30 (data on corruption cases</w:t>
            </w:r>
            <w:r>
              <w:rPr>
                <w:b/>
                <w:bCs/>
              </w:rPr>
              <w:t xml:space="preserve">) </w:t>
            </w:r>
          </w:p>
          <w:p w14:paraId="2D286752" w14:textId="6B8F1696" w:rsidR="00FB1607" w:rsidRDefault="00FB1607" w:rsidP="005A53DA">
            <w:pPr>
              <w:rPr>
                <w:lang w:val="en-US"/>
              </w:rPr>
            </w:pPr>
            <w:r>
              <w:t>We propose to continue the final sentence as such: „…funds, if such information is recorded (and available to the authority.“) Regardless on the content of footnote 9, the collection of data outlined in the core text of the question no. 30 is not and should not be taken for granted. In the absence of a definition of high-level and complex corruption cases (i. a. whether the municipal and regional politicians are determining a high-level corruption), the question might become inadequately burdening to the national administrations.</w:t>
            </w:r>
          </w:p>
        </w:tc>
        <w:tc>
          <w:tcPr>
            <w:tcW w:w="2565" w:type="pct"/>
          </w:tcPr>
          <w:p w14:paraId="021071B6" w14:textId="77777777" w:rsidR="00FB1607" w:rsidRDefault="00FB1607" w:rsidP="005A53DA">
            <w:pPr>
              <w:rPr>
                <w:b/>
                <w:bCs/>
              </w:rPr>
            </w:pPr>
          </w:p>
          <w:p w14:paraId="4BE6FA14" w14:textId="2D9B7B72" w:rsidR="00FB1607" w:rsidRDefault="008E704C" w:rsidP="005A53DA">
            <w:pPr>
              <w:rPr>
                <w:b/>
                <w:bCs/>
              </w:rPr>
            </w:pPr>
            <w:r>
              <w:t>As noted above, it is understood that all</w:t>
            </w:r>
            <w:r w:rsidR="00FB1607" w:rsidRPr="00195E1C">
              <w:t xml:space="preserve"> data is dependent on availability</w:t>
            </w:r>
            <w:r>
              <w:t xml:space="preserve"> (which is why this is not specifically spelled out in the questionnaire)</w:t>
            </w:r>
            <w:r w:rsidR="00FB1607" w:rsidRPr="00195E1C">
              <w:t xml:space="preserve">. </w:t>
            </w:r>
            <w:r w:rsidR="00FB1607">
              <w:t xml:space="preserve">The Commission in general </w:t>
            </w:r>
            <w:r w:rsidR="00E66B69">
              <w:t>would expect</w:t>
            </w:r>
            <w:r w:rsidR="00FB1607">
              <w:t xml:space="preserve"> that all MS collect data on the number of investigations, prosecutions, final judgments and application of sanctions for corruption offences, as this is necessary for States to monitor the effectiveness of their response to corruption. This also allows for an evidence-based comparable analysis of MS in the Rule of Law Report. </w:t>
            </w:r>
            <w:r w:rsidR="00FB1607" w:rsidRPr="00195E1C">
              <w:t xml:space="preserve">For a definition of high-level corruption, we </w:t>
            </w:r>
            <w:r>
              <w:t>would like to refer you</w:t>
            </w:r>
            <w:r w:rsidR="00FB1607" w:rsidRPr="00195E1C">
              <w:t xml:space="preserve"> to COM(2023)234</w:t>
            </w:r>
            <w:r w:rsidR="00FB1607">
              <w:t xml:space="preserve"> (as also explained in the meeting). </w:t>
            </w:r>
          </w:p>
        </w:tc>
      </w:tr>
      <w:tr w:rsidR="00FB1607" w:rsidRPr="002D30B4" w14:paraId="5FD746F1" w14:textId="77777777" w:rsidTr="00FB1607">
        <w:tc>
          <w:tcPr>
            <w:tcW w:w="2435" w:type="pct"/>
          </w:tcPr>
          <w:p w14:paraId="1E5FCFDB" w14:textId="619D0303" w:rsidR="00FB1607" w:rsidRPr="006F5584" w:rsidRDefault="00FB1607" w:rsidP="005A53DA">
            <w:pPr>
              <w:rPr>
                <w:b/>
                <w:bCs/>
              </w:rPr>
            </w:pPr>
            <w:r>
              <w:rPr>
                <w:b/>
                <w:bCs/>
              </w:rPr>
              <w:t>Questions 32</w:t>
            </w:r>
            <w:r w:rsidRPr="006F5584">
              <w:rPr>
                <w:b/>
                <w:bCs/>
              </w:rPr>
              <w:t xml:space="preserve"> </w:t>
            </w:r>
            <w:r>
              <w:rPr>
                <w:b/>
                <w:bCs/>
              </w:rPr>
              <w:t>(</w:t>
            </w:r>
            <w:r w:rsidRPr="006F5584">
              <w:rPr>
                <w:b/>
                <w:bCs/>
              </w:rPr>
              <w:t>effectiveness of non-criminal measures and of sanctions</w:t>
            </w:r>
            <w:r>
              <w:rPr>
                <w:b/>
                <w:bCs/>
              </w:rPr>
              <w:t>)</w:t>
            </w:r>
          </w:p>
          <w:p w14:paraId="5CB5D8ED" w14:textId="77777777" w:rsidR="00FB1607" w:rsidRDefault="00FB1607" w:rsidP="005A53DA">
            <w:r>
              <w:t>We propose to replace „effectiveness“ with „types and numbers,“ as the effectiveness is inherently difficult to be qualified. Moreover, it might weaken the principle of objectivity in this exercise, as each administration might assess the effectiveness differently in an identical situation, depending on their expectations.</w:t>
            </w:r>
          </w:p>
        </w:tc>
        <w:tc>
          <w:tcPr>
            <w:tcW w:w="2565" w:type="pct"/>
          </w:tcPr>
          <w:p w14:paraId="6AAA6BB5" w14:textId="77777777" w:rsidR="008E704C" w:rsidRDefault="008E704C" w:rsidP="005A53DA"/>
          <w:p w14:paraId="4947E63A" w14:textId="77777777" w:rsidR="008E704C" w:rsidRDefault="008E704C" w:rsidP="005A53DA"/>
          <w:p w14:paraId="474FEA2B" w14:textId="2B8B5711" w:rsidR="00FB1607" w:rsidRPr="00CA55CE" w:rsidRDefault="00FB1607" w:rsidP="005A53DA">
            <w:r>
              <w:t xml:space="preserve">In fact, this question does aim to capture not only figures but also the effectiveness of such measures; the assessment of effectiveness is not subjective or dependant on the administration. For example, the effectiveness of the measure such as recovery of assets is measured by what share of the illegally obtained assets has been successfully recovered. </w:t>
            </w:r>
            <w:r w:rsidR="008E704C">
              <w:t xml:space="preserve">This is why the wording of the question has been maintained. </w:t>
            </w:r>
          </w:p>
        </w:tc>
      </w:tr>
      <w:tr w:rsidR="008B79F1" w:rsidRPr="004E6071" w14:paraId="7D5254AF" w14:textId="77777777" w:rsidTr="008B79F1">
        <w:trPr>
          <w:trHeight w:val="558"/>
        </w:trPr>
        <w:tc>
          <w:tcPr>
            <w:tcW w:w="2435" w:type="pct"/>
          </w:tcPr>
          <w:p w14:paraId="579A306D" w14:textId="77777777" w:rsidR="008B79F1" w:rsidRDefault="008B79F1" w:rsidP="005A53DA">
            <w:pPr>
              <w:rPr>
                <w:b/>
                <w:bCs/>
              </w:rPr>
            </w:pPr>
            <w:r w:rsidRPr="008B79F1">
              <w:rPr>
                <w:b/>
                <w:bCs/>
              </w:rPr>
              <w:lastRenderedPageBreak/>
              <w:t xml:space="preserve">Question 41 (safety of journalists) </w:t>
            </w:r>
          </w:p>
          <w:p w14:paraId="2B72174A" w14:textId="5E54003E" w:rsidR="008B79F1" w:rsidRPr="008B79F1" w:rsidRDefault="008B79F1" w:rsidP="005A53DA">
            <w:pPr>
              <w:rPr>
                <w:b/>
                <w:bCs/>
              </w:rPr>
            </w:pPr>
            <w:r>
              <w:rPr>
                <w:lang w:val="sk-SK"/>
              </w:rPr>
              <w:t>W</w:t>
            </w:r>
            <w:r w:rsidRPr="00F301DE">
              <w:rPr>
                <w:lang w:val="sk-SK"/>
              </w:rPr>
              <w:t>hat is meant by "law enforcement capacity", is it only the police force?</w:t>
            </w:r>
          </w:p>
        </w:tc>
        <w:tc>
          <w:tcPr>
            <w:tcW w:w="2565" w:type="pct"/>
          </w:tcPr>
          <w:p w14:paraId="220715AD" w14:textId="77777777" w:rsidR="008B79F1" w:rsidRDefault="008B79F1" w:rsidP="005A53DA"/>
          <w:p w14:paraId="52F432EB" w14:textId="334F7B74" w:rsidR="008B79F1" w:rsidRDefault="008E704C" w:rsidP="005A53DA">
            <w:r>
              <w:t>This question indeed</w:t>
            </w:r>
            <w:r w:rsidR="008B79F1">
              <w:t xml:space="preserve"> primarily </w:t>
            </w:r>
            <w:r>
              <w:t>refers to</w:t>
            </w:r>
            <w:r w:rsidR="008B79F1">
              <w:t xml:space="preserve"> police forces</w:t>
            </w:r>
            <w:r>
              <w:t xml:space="preserve">. </w:t>
            </w:r>
          </w:p>
        </w:tc>
      </w:tr>
      <w:tr w:rsidR="008B79F1" w:rsidRPr="004E6071" w14:paraId="0BF4542C" w14:textId="77777777" w:rsidTr="008B79F1">
        <w:tc>
          <w:tcPr>
            <w:tcW w:w="2435" w:type="pct"/>
          </w:tcPr>
          <w:p w14:paraId="3147D752" w14:textId="61246C87" w:rsidR="008B79F1" w:rsidRPr="008B79F1" w:rsidRDefault="008B79F1" w:rsidP="005A53DA">
            <w:pPr>
              <w:rPr>
                <w:b/>
                <w:bCs/>
              </w:rPr>
            </w:pPr>
            <w:r w:rsidRPr="008B79F1">
              <w:rPr>
                <w:b/>
                <w:bCs/>
              </w:rPr>
              <w:t xml:space="preserve">Question 43 (Lawsuits against journalists) </w:t>
            </w:r>
          </w:p>
          <w:p w14:paraId="0FB1C299" w14:textId="63B5C687" w:rsidR="008B79F1" w:rsidRPr="004E6071" w:rsidRDefault="008B79F1" w:rsidP="005A53DA">
            <w:r>
              <w:t>In</w:t>
            </w:r>
            <w:r w:rsidRPr="004E6071">
              <w:t xml:space="preserve"> the case of the provision of information on convictions, is it only the provision of statistical data, or is it also necessary to provide a description of the offence, the type and amount of the sentence, etc.</w:t>
            </w:r>
          </w:p>
        </w:tc>
        <w:tc>
          <w:tcPr>
            <w:tcW w:w="2565" w:type="pct"/>
          </w:tcPr>
          <w:p w14:paraId="4CA3D8AC" w14:textId="77777777" w:rsidR="008B79F1" w:rsidRDefault="008B79F1" w:rsidP="005A53DA">
            <w:pPr>
              <w:rPr>
                <w:b/>
                <w:bCs/>
              </w:rPr>
            </w:pPr>
          </w:p>
          <w:p w14:paraId="6D039964" w14:textId="2E9768B7" w:rsidR="008B79F1" w:rsidRDefault="008B79F1" w:rsidP="005A53DA">
            <w:r>
              <w:t>Indeed, in addition to the number of cases, further details such as the type of offence and sentence would be useful, if such data is available</w:t>
            </w:r>
            <w:r w:rsidR="008E704C">
              <w:t xml:space="preserve">. </w:t>
            </w:r>
            <w:r>
              <w:t xml:space="preserve"> </w:t>
            </w:r>
          </w:p>
          <w:p w14:paraId="31830F72" w14:textId="24E47FB2" w:rsidR="008B79F1" w:rsidRPr="004E6071" w:rsidRDefault="008B79F1" w:rsidP="005A53DA"/>
        </w:tc>
      </w:tr>
    </w:tbl>
    <w:p w14:paraId="4E6F0C45" w14:textId="563FE359" w:rsidR="00D302FC" w:rsidRPr="002D30B4" w:rsidRDefault="00D302FC" w:rsidP="005A53DA">
      <w:pPr>
        <w:spacing w:line="240" w:lineRule="auto"/>
      </w:pPr>
    </w:p>
    <w:sectPr w:rsidR="00D302FC" w:rsidRPr="002D30B4" w:rsidSect="005A53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CFC5" w14:textId="77777777" w:rsidR="009D343E" w:rsidRDefault="009D343E" w:rsidP="00F301DE">
      <w:pPr>
        <w:spacing w:after="0" w:line="240" w:lineRule="auto"/>
      </w:pPr>
      <w:r>
        <w:separator/>
      </w:r>
    </w:p>
  </w:endnote>
  <w:endnote w:type="continuationSeparator" w:id="0">
    <w:p w14:paraId="5A3BCC8E" w14:textId="77777777" w:rsidR="009D343E" w:rsidRDefault="009D343E" w:rsidP="00F301DE">
      <w:pPr>
        <w:spacing w:after="0" w:line="240" w:lineRule="auto"/>
      </w:pPr>
      <w:r>
        <w:continuationSeparator/>
      </w:r>
    </w:p>
  </w:endnote>
  <w:endnote w:type="continuationNotice" w:id="1">
    <w:p w14:paraId="3A6E2AF8" w14:textId="77777777" w:rsidR="009D343E" w:rsidRDefault="009D3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C072" w14:textId="77777777" w:rsidR="009D343E" w:rsidRDefault="009D343E" w:rsidP="00F301DE">
      <w:pPr>
        <w:spacing w:after="0" w:line="240" w:lineRule="auto"/>
      </w:pPr>
      <w:r>
        <w:separator/>
      </w:r>
    </w:p>
  </w:footnote>
  <w:footnote w:type="continuationSeparator" w:id="0">
    <w:p w14:paraId="6FB2B260" w14:textId="77777777" w:rsidR="009D343E" w:rsidRDefault="009D343E" w:rsidP="00F301DE">
      <w:pPr>
        <w:spacing w:after="0" w:line="240" w:lineRule="auto"/>
      </w:pPr>
      <w:r>
        <w:continuationSeparator/>
      </w:r>
    </w:p>
  </w:footnote>
  <w:footnote w:type="continuationNotice" w:id="1">
    <w:p w14:paraId="7224D8C1" w14:textId="77777777" w:rsidR="009D343E" w:rsidRDefault="009D34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15CEA"/>
    <w:multiLevelType w:val="hybridMultilevel"/>
    <w:tmpl w:val="DEAAB1A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7BE54EAB"/>
    <w:multiLevelType w:val="multilevel"/>
    <w:tmpl w:val="536E1E8E"/>
    <w:lvl w:ilvl="0">
      <w:start w:val="1"/>
      <w:numFmt w:val="decimal"/>
      <w:lvlText w:val="%1."/>
      <w:lvlJc w:val="left"/>
      <w:rPr>
        <w:rFonts w:ascii="Calibri" w:eastAsia="Calibri" w:hAnsi="Calibri" w:cs="Calibri"/>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9975604">
    <w:abstractNumId w:val="1"/>
  </w:num>
  <w:num w:numId="2" w16cid:durableId="2042630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D30B4"/>
    <w:rsid w:val="00006CD8"/>
    <w:rsid w:val="00014562"/>
    <w:rsid w:val="000478D2"/>
    <w:rsid w:val="0006400A"/>
    <w:rsid w:val="00065D68"/>
    <w:rsid w:val="00080D98"/>
    <w:rsid w:val="000826EF"/>
    <w:rsid w:val="000848F2"/>
    <w:rsid w:val="00084B0A"/>
    <w:rsid w:val="00085726"/>
    <w:rsid w:val="000B7AAD"/>
    <w:rsid w:val="000C1158"/>
    <w:rsid w:val="000E6C12"/>
    <w:rsid w:val="00104CA1"/>
    <w:rsid w:val="00126B75"/>
    <w:rsid w:val="0013239A"/>
    <w:rsid w:val="00166F2D"/>
    <w:rsid w:val="00195E1C"/>
    <w:rsid w:val="0019650E"/>
    <w:rsid w:val="001978CD"/>
    <w:rsid w:val="001C10FA"/>
    <w:rsid w:val="001C1302"/>
    <w:rsid w:val="001D3FC0"/>
    <w:rsid w:val="001F3013"/>
    <w:rsid w:val="0020640C"/>
    <w:rsid w:val="00236774"/>
    <w:rsid w:val="0027472F"/>
    <w:rsid w:val="002749E1"/>
    <w:rsid w:val="00286834"/>
    <w:rsid w:val="0028698E"/>
    <w:rsid w:val="002B1DB2"/>
    <w:rsid w:val="002B6CF5"/>
    <w:rsid w:val="002C3799"/>
    <w:rsid w:val="002D30B4"/>
    <w:rsid w:val="002E5329"/>
    <w:rsid w:val="003201E4"/>
    <w:rsid w:val="0033124F"/>
    <w:rsid w:val="003557C9"/>
    <w:rsid w:val="00357F1A"/>
    <w:rsid w:val="003A6CE7"/>
    <w:rsid w:val="003C55E5"/>
    <w:rsid w:val="003D2B30"/>
    <w:rsid w:val="003D5F22"/>
    <w:rsid w:val="003F3E15"/>
    <w:rsid w:val="003F6D26"/>
    <w:rsid w:val="00432132"/>
    <w:rsid w:val="0046075F"/>
    <w:rsid w:val="004767DA"/>
    <w:rsid w:val="004838E9"/>
    <w:rsid w:val="00493EC6"/>
    <w:rsid w:val="004B76F8"/>
    <w:rsid w:val="004C0044"/>
    <w:rsid w:val="004D4241"/>
    <w:rsid w:val="004E1DE3"/>
    <w:rsid w:val="004E3BE7"/>
    <w:rsid w:val="004E6071"/>
    <w:rsid w:val="004F1106"/>
    <w:rsid w:val="00505370"/>
    <w:rsid w:val="00511BC8"/>
    <w:rsid w:val="00525D83"/>
    <w:rsid w:val="005855A1"/>
    <w:rsid w:val="005A53DA"/>
    <w:rsid w:val="005A669B"/>
    <w:rsid w:val="005B32E9"/>
    <w:rsid w:val="005C7F95"/>
    <w:rsid w:val="005D5479"/>
    <w:rsid w:val="00645938"/>
    <w:rsid w:val="00667764"/>
    <w:rsid w:val="00667A47"/>
    <w:rsid w:val="006835C8"/>
    <w:rsid w:val="006A7487"/>
    <w:rsid w:val="006D5448"/>
    <w:rsid w:val="006D67D7"/>
    <w:rsid w:val="006F53C4"/>
    <w:rsid w:val="006F5584"/>
    <w:rsid w:val="007051DB"/>
    <w:rsid w:val="00712741"/>
    <w:rsid w:val="00792AD5"/>
    <w:rsid w:val="00794822"/>
    <w:rsid w:val="007D1683"/>
    <w:rsid w:val="007E1059"/>
    <w:rsid w:val="007E2003"/>
    <w:rsid w:val="008049EB"/>
    <w:rsid w:val="00823BF5"/>
    <w:rsid w:val="0085299B"/>
    <w:rsid w:val="0086561D"/>
    <w:rsid w:val="00866A73"/>
    <w:rsid w:val="0089087A"/>
    <w:rsid w:val="00893B3A"/>
    <w:rsid w:val="008B6D36"/>
    <w:rsid w:val="008B75EB"/>
    <w:rsid w:val="008B79F1"/>
    <w:rsid w:val="008D62E5"/>
    <w:rsid w:val="008E0600"/>
    <w:rsid w:val="008E704C"/>
    <w:rsid w:val="008F53C0"/>
    <w:rsid w:val="008F5DE3"/>
    <w:rsid w:val="00917663"/>
    <w:rsid w:val="009315B9"/>
    <w:rsid w:val="009322D6"/>
    <w:rsid w:val="0095064E"/>
    <w:rsid w:val="0099587C"/>
    <w:rsid w:val="009A655F"/>
    <w:rsid w:val="009D1763"/>
    <w:rsid w:val="009D343E"/>
    <w:rsid w:val="009E5527"/>
    <w:rsid w:val="009E7FF0"/>
    <w:rsid w:val="00A27662"/>
    <w:rsid w:val="00A300A5"/>
    <w:rsid w:val="00A52931"/>
    <w:rsid w:val="00A748EE"/>
    <w:rsid w:val="00A81AA9"/>
    <w:rsid w:val="00A83CC6"/>
    <w:rsid w:val="00A94031"/>
    <w:rsid w:val="00AD0466"/>
    <w:rsid w:val="00AF502E"/>
    <w:rsid w:val="00B16A4A"/>
    <w:rsid w:val="00B3551D"/>
    <w:rsid w:val="00B510F1"/>
    <w:rsid w:val="00B656DF"/>
    <w:rsid w:val="00BB2AC5"/>
    <w:rsid w:val="00BB67CA"/>
    <w:rsid w:val="00BD5D2F"/>
    <w:rsid w:val="00C10200"/>
    <w:rsid w:val="00C14F00"/>
    <w:rsid w:val="00C7151E"/>
    <w:rsid w:val="00C720D0"/>
    <w:rsid w:val="00C81905"/>
    <w:rsid w:val="00C81C6E"/>
    <w:rsid w:val="00C909B6"/>
    <w:rsid w:val="00CA007D"/>
    <w:rsid w:val="00CA55CE"/>
    <w:rsid w:val="00CD6E10"/>
    <w:rsid w:val="00D05147"/>
    <w:rsid w:val="00D14F19"/>
    <w:rsid w:val="00D302FC"/>
    <w:rsid w:val="00D4524B"/>
    <w:rsid w:val="00D62936"/>
    <w:rsid w:val="00D732FA"/>
    <w:rsid w:val="00D8140E"/>
    <w:rsid w:val="00D97C1C"/>
    <w:rsid w:val="00DA7545"/>
    <w:rsid w:val="00DB6C7C"/>
    <w:rsid w:val="00DC0DED"/>
    <w:rsid w:val="00DF07DB"/>
    <w:rsid w:val="00DF5729"/>
    <w:rsid w:val="00DF5D59"/>
    <w:rsid w:val="00DF7693"/>
    <w:rsid w:val="00E20F51"/>
    <w:rsid w:val="00E34CF3"/>
    <w:rsid w:val="00E41EBB"/>
    <w:rsid w:val="00E66B69"/>
    <w:rsid w:val="00E74E17"/>
    <w:rsid w:val="00EB64F2"/>
    <w:rsid w:val="00ED2D61"/>
    <w:rsid w:val="00EE1D5E"/>
    <w:rsid w:val="00EE546B"/>
    <w:rsid w:val="00F0588E"/>
    <w:rsid w:val="00F301DE"/>
    <w:rsid w:val="00F678E5"/>
    <w:rsid w:val="00FB1607"/>
    <w:rsid w:val="00FD1185"/>
    <w:rsid w:val="00FD377F"/>
    <w:rsid w:val="00FF50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07258"/>
  <w15:chartTrackingRefBased/>
  <w15:docId w15:val="{F85A7F3F-FEBA-44AD-8B8C-262B7827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051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5147"/>
  </w:style>
  <w:style w:type="paragraph" w:styleId="Footer">
    <w:name w:val="footer"/>
    <w:basedOn w:val="Normal"/>
    <w:link w:val="FooterChar"/>
    <w:uiPriority w:val="99"/>
    <w:semiHidden/>
    <w:unhideWhenUsed/>
    <w:rsid w:val="00D051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5147"/>
  </w:style>
  <w:style w:type="character" w:styleId="CommentReference">
    <w:name w:val="annotation reference"/>
    <w:basedOn w:val="DefaultParagraphFont"/>
    <w:uiPriority w:val="99"/>
    <w:semiHidden/>
    <w:unhideWhenUsed/>
    <w:rsid w:val="00D97C1C"/>
    <w:rPr>
      <w:sz w:val="16"/>
      <w:szCs w:val="16"/>
    </w:rPr>
  </w:style>
  <w:style w:type="paragraph" w:styleId="CommentText">
    <w:name w:val="annotation text"/>
    <w:basedOn w:val="Normal"/>
    <w:link w:val="CommentTextChar"/>
    <w:uiPriority w:val="99"/>
    <w:unhideWhenUsed/>
    <w:rsid w:val="00D97C1C"/>
    <w:pPr>
      <w:widowControl w:val="0"/>
      <w:spacing w:after="0" w:line="240" w:lineRule="auto"/>
    </w:pPr>
    <w:rPr>
      <w:rFonts w:ascii="Times New Roman" w:eastAsia="Times New Roman" w:hAnsi="Times New Roman" w:cs="Times New Roman"/>
      <w:color w:val="000000"/>
      <w:sz w:val="20"/>
      <w:szCs w:val="20"/>
      <w:lang w:val="en-US" w:bidi="en-US"/>
    </w:rPr>
  </w:style>
  <w:style w:type="character" w:customStyle="1" w:styleId="CommentTextChar">
    <w:name w:val="Comment Text Char"/>
    <w:basedOn w:val="DefaultParagraphFont"/>
    <w:link w:val="CommentText"/>
    <w:uiPriority w:val="99"/>
    <w:rsid w:val="00D97C1C"/>
    <w:rPr>
      <w:rFonts w:ascii="Times New Roman" w:eastAsia="Times New Roman" w:hAnsi="Times New Roman" w:cs="Times New Roman"/>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9E7FF0"/>
    <w:pPr>
      <w:widowControl/>
      <w:spacing w:after="160"/>
    </w:pPr>
    <w:rPr>
      <w:rFonts w:asciiTheme="minorHAnsi" w:eastAsiaTheme="minorHAnsi" w:hAnsiTheme="minorHAnsi" w:cstheme="minorBidi"/>
      <w:b/>
      <w:bCs/>
      <w:color w:val="auto"/>
      <w:lang w:val="en-IE" w:bidi="ar-SA"/>
    </w:rPr>
  </w:style>
  <w:style w:type="character" w:customStyle="1" w:styleId="CommentSubjectChar">
    <w:name w:val="Comment Subject Char"/>
    <w:basedOn w:val="CommentTextChar"/>
    <w:link w:val="CommentSubject"/>
    <w:uiPriority w:val="99"/>
    <w:semiHidden/>
    <w:rsid w:val="009E7FF0"/>
    <w:rPr>
      <w:rFonts w:ascii="Times New Roman" w:eastAsia="Times New Roman" w:hAnsi="Times New Roman" w:cs="Times New Roman"/>
      <w:b/>
      <w:bCs/>
      <w:color w:val="000000"/>
      <w:sz w:val="20"/>
      <w:szCs w:val="20"/>
      <w:lang w:val="en-US" w:bidi="en-US"/>
    </w:rPr>
  </w:style>
  <w:style w:type="character" w:styleId="Mention">
    <w:name w:val="Mention"/>
    <w:basedOn w:val="DefaultParagraphFont"/>
    <w:uiPriority w:val="99"/>
    <w:unhideWhenUsed/>
    <w:rsid w:val="000E6C12"/>
    <w:rPr>
      <w:color w:val="2B579A"/>
      <w:shd w:val="clear" w:color="auto" w:fill="E1DFDD"/>
    </w:rPr>
  </w:style>
  <w:style w:type="paragraph" w:styleId="Revision">
    <w:name w:val="Revision"/>
    <w:hidden/>
    <w:uiPriority w:val="99"/>
    <w:semiHidden/>
    <w:rsid w:val="00ED2D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7516">
      <w:bodyDiv w:val="1"/>
      <w:marLeft w:val="0"/>
      <w:marRight w:val="0"/>
      <w:marTop w:val="0"/>
      <w:marBottom w:val="0"/>
      <w:divBdr>
        <w:top w:val="none" w:sz="0" w:space="0" w:color="auto"/>
        <w:left w:val="none" w:sz="0" w:space="0" w:color="auto"/>
        <w:bottom w:val="none" w:sz="0" w:space="0" w:color="auto"/>
        <w:right w:val="none" w:sz="0" w:space="0" w:color="auto"/>
      </w:divBdr>
    </w:div>
    <w:div w:id="372317084">
      <w:bodyDiv w:val="1"/>
      <w:marLeft w:val="0"/>
      <w:marRight w:val="0"/>
      <w:marTop w:val="0"/>
      <w:marBottom w:val="0"/>
      <w:divBdr>
        <w:top w:val="none" w:sz="0" w:space="0" w:color="auto"/>
        <w:left w:val="none" w:sz="0" w:space="0" w:color="auto"/>
        <w:bottom w:val="none" w:sz="0" w:space="0" w:color="auto"/>
        <w:right w:val="none" w:sz="0" w:space="0" w:color="auto"/>
      </w:divBdr>
    </w:div>
    <w:div w:id="484395080">
      <w:bodyDiv w:val="1"/>
      <w:marLeft w:val="0"/>
      <w:marRight w:val="0"/>
      <w:marTop w:val="0"/>
      <w:marBottom w:val="0"/>
      <w:divBdr>
        <w:top w:val="none" w:sz="0" w:space="0" w:color="auto"/>
        <w:left w:val="none" w:sz="0" w:space="0" w:color="auto"/>
        <w:bottom w:val="none" w:sz="0" w:space="0" w:color="auto"/>
        <w:right w:val="none" w:sz="0" w:space="0" w:color="auto"/>
      </w:divBdr>
    </w:div>
    <w:div w:id="555896292">
      <w:bodyDiv w:val="1"/>
      <w:marLeft w:val="0"/>
      <w:marRight w:val="0"/>
      <w:marTop w:val="0"/>
      <w:marBottom w:val="0"/>
      <w:divBdr>
        <w:top w:val="none" w:sz="0" w:space="0" w:color="auto"/>
        <w:left w:val="none" w:sz="0" w:space="0" w:color="auto"/>
        <w:bottom w:val="none" w:sz="0" w:space="0" w:color="auto"/>
        <w:right w:val="none" w:sz="0" w:space="0" w:color="auto"/>
      </w:divBdr>
    </w:div>
    <w:div w:id="773791870">
      <w:bodyDiv w:val="1"/>
      <w:marLeft w:val="0"/>
      <w:marRight w:val="0"/>
      <w:marTop w:val="0"/>
      <w:marBottom w:val="0"/>
      <w:divBdr>
        <w:top w:val="none" w:sz="0" w:space="0" w:color="auto"/>
        <w:left w:val="none" w:sz="0" w:space="0" w:color="auto"/>
        <w:bottom w:val="none" w:sz="0" w:space="0" w:color="auto"/>
        <w:right w:val="none" w:sz="0" w:space="0" w:color="auto"/>
      </w:divBdr>
    </w:div>
    <w:div w:id="1337882185">
      <w:bodyDiv w:val="1"/>
      <w:marLeft w:val="0"/>
      <w:marRight w:val="0"/>
      <w:marTop w:val="0"/>
      <w:marBottom w:val="0"/>
      <w:divBdr>
        <w:top w:val="none" w:sz="0" w:space="0" w:color="auto"/>
        <w:left w:val="none" w:sz="0" w:space="0" w:color="auto"/>
        <w:bottom w:val="none" w:sz="0" w:space="0" w:color="auto"/>
        <w:right w:val="none" w:sz="0" w:space="0" w:color="auto"/>
      </w:divBdr>
    </w:div>
    <w:div w:id="1576478343">
      <w:bodyDiv w:val="1"/>
      <w:marLeft w:val="0"/>
      <w:marRight w:val="0"/>
      <w:marTop w:val="0"/>
      <w:marBottom w:val="0"/>
      <w:divBdr>
        <w:top w:val="none" w:sz="0" w:space="0" w:color="auto"/>
        <w:left w:val="none" w:sz="0" w:space="0" w:color="auto"/>
        <w:bottom w:val="none" w:sz="0" w:space="0" w:color="auto"/>
        <w:right w:val="none" w:sz="0" w:space="0" w:color="auto"/>
      </w:divBdr>
    </w:div>
    <w:div w:id="1627657131">
      <w:bodyDiv w:val="1"/>
      <w:marLeft w:val="0"/>
      <w:marRight w:val="0"/>
      <w:marTop w:val="0"/>
      <w:marBottom w:val="0"/>
      <w:divBdr>
        <w:top w:val="none" w:sz="0" w:space="0" w:color="auto"/>
        <w:left w:val="none" w:sz="0" w:space="0" w:color="auto"/>
        <w:bottom w:val="none" w:sz="0" w:space="0" w:color="auto"/>
        <w:right w:val="none" w:sz="0" w:space="0" w:color="auto"/>
      </w:divBdr>
    </w:div>
    <w:div w:id="1654067161">
      <w:bodyDiv w:val="1"/>
      <w:marLeft w:val="0"/>
      <w:marRight w:val="0"/>
      <w:marTop w:val="0"/>
      <w:marBottom w:val="0"/>
      <w:divBdr>
        <w:top w:val="none" w:sz="0" w:space="0" w:color="auto"/>
        <w:left w:val="none" w:sz="0" w:space="0" w:color="auto"/>
        <w:bottom w:val="none" w:sz="0" w:space="0" w:color="auto"/>
        <w:right w:val="none" w:sz="0" w:space="0" w:color="auto"/>
      </w:divBdr>
    </w:div>
    <w:div w:id="1779713320">
      <w:bodyDiv w:val="1"/>
      <w:marLeft w:val="0"/>
      <w:marRight w:val="0"/>
      <w:marTop w:val="0"/>
      <w:marBottom w:val="0"/>
      <w:divBdr>
        <w:top w:val="none" w:sz="0" w:space="0" w:color="auto"/>
        <w:left w:val="none" w:sz="0" w:space="0" w:color="auto"/>
        <w:bottom w:val="none" w:sz="0" w:space="0" w:color="auto"/>
        <w:right w:val="none" w:sz="0" w:space="0" w:color="auto"/>
      </w:divBdr>
    </w:div>
    <w:div w:id="19461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7efdc9-378e-418a-934d-4e27c154476b" xsi:nil="true"/>
    <lcf76f155ced4ddcb4097134ff3c332f xmlns="d47e9b79-a238-4c23-8f8d-deb36af73be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5" ma:contentTypeDescription="Create a new document." ma:contentTypeScope="" ma:versionID="8e800a7c5288f3a1fa61d7f2a96684e2">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2a364cda65e361432507cfcc7d03ed61"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a52d71-9f02-490e-8aa3-c381bd22266c}" ma:internalName="TaxCatchAll"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7C0AA-861D-4760-B2FE-CA4DC1F0E7A3}">
  <ds:schemaRefs>
    <ds:schemaRef ds:uri="http://schemas.microsoft.com/office/2006/metadata/properties"/>
    <ds:schemaRef ds:uri="http://schemas.microsoft.com/office/infopath/2007/PartnerControls"/>
    <ds:schemaRef ds:uri="827efdc9-378e-418a-934d-4e27c154476b"/>
    <ds:schemaRef ds:uri="d47e9b79-a238-4c23-8f8d-deb36af73bea"/>
  </ds:schemaRefs>
</ds:datastoreItem>
</file>

<file path=customXml/itemProps2.xml><?xml version="1.0" encoding="utf-8"?>
<ds:datastoreItem xmlns:ds="http://schemas.openxmlformats.org/officeDocument/2006/customXml" ds:itemID="{F8654FA3-6869-4173-B4DC-029E14B3062C}">
  <ds:schemaRefs>
    <ds:schemaRef ds:uri="http://schemas.microsoft.com/sharepoint/v3/contenttype/forms"/>
  </ds:schemaRefs>
</ds:datastoreItem>
</file>

<file path=customXml/itemProps3.xml><?xml version="1.0" encoding="utf-8"?>
<ds:datastoreItem xmlns:ds="http://schemas.openxmlformats.org/officeDocument/2006/customXml" ds:itemID="{7E7376FA-5312-4288-919E-0E7C1366E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1630</Words>
  <Characters>8498</Characters>
  <Application>Microsoft Office Word</Application>
  <DocSecurity>0</DocSecurity>
  <Lines>283</Lines>
  <Paragraphs>52</Paragraphs>
  <ScaleCrop>false</ScaleCrop>
  <HeadingPairs>
    <vt:vector size="2" baseType="variant">
      <vt:variant>
        <vt:lpstr>Title</vt:lpstr>
      </vt:variant>
      <vt:variant>
        <vt:i4>1</vt:i4>
      </vt:variant>
    </vt:vector>
  </HeadingPairs>
  <TitlesOfParts>
    <vt:vector size="1" baseType="lpstr">
      <vt:lpstr/>
    </vt:vector>
  </TitlesOfParts>
  <Company>European Commission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KEMPF Annegret (JUST)</dc:creator>
  <cp:keywords/>
  <dc:description/>
  <cp:lastModifiedBy>KEMPF Annegret (JUST)</cp:lastModifiedBy>
  <cp:revision>12</cp:revision>
  <dcterms:created xsi:type="dcterms:W3CDTF">2023-11-06T10:20:00Z</dcterms:created>
  <dcterms:modified xsi:type="dcterms:W3CDTF">2023-11-06T13:48:00Z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2023-10-26T07:32:43Z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9c002e97-e2f8-46a5-83d3-a596bbedc703</vt:lpwstr>
  </property>
  <property fmtid="{D5CDD505-2E9C-101B-9397-08002B2CF9AE}" pid="8" name="MSIP_Label_6bd9ddd1-4d20-43f6-abfa-fc3c07406f94_ContentBits">
    <vt:lpwstr>0</vt:lpwstr>
  </property>
  <property fmtid="{D5CDD505-2E9C-101B-9397-08002B2CF9AE}" pid="9" name="ContentTypeId">
    <vt:lpwstr>0x0101008CF1E423E1053143A72AC4DF303AC6F5</vt:lpwstr>
  </property>
</Properties>
</file>